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9D1E" w14:textId="5C088E62" w:rsidR="00C41C53" w:rsidRDefault="00C41C53" w:rsidP="00E003E2"/>
    <w:p w14:paraId="4F4B2BF4" w14:textId="11E20E21" w:rsidR="006102A0" w:rsidRDefault="006102A0" w:rsidP="00E003E2"/>
    <w:p w14:paraId="60E481D3" w14:textId="395562AE" w:rsidR="006102A0" w:rsidRDefault="006102A0" w:rsidP="00E003E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5935"/>
      </w:tblGrid>
      <w:tr w:rsidR="00D248C0" w14:paraId="037BCC18" w14:textId="77777777" w:rsidTr="00AB20F8">
        <w:tc>
          <w:tcPr>
            <w:tcW w:w="9350" w:type="dxa"/>
            <w:gridSpan w:val="2"/>
            <w:shd w:val="clear" w:color="auto" w:fill="000000" w:themeFill="text1"/>
          </w:tcPr>
          <w:p w14:paraId="6E7E6F2C" w14:textId="700CAF38" w:rsidR="00D248C0" w:rsidRPr="00C905A1" w:rsidRDefault="00D248C0" w:rsidP="00D248C0">
            <w:pPr>
              <w:jc w:val="center"/>
              <w:rPr>
                <w:b/>
                <w:bCs/>
              </w:rPr>
            </w:pPr>
            <w:r w:rsidRPr="00C905A1">
              <w:rPr>
                <w:b/>
                <w:bCs/>
                <w:color w:val="FFFFFF" w:themeColor="background1"/>
              </w:rPr>
              <w:t>IDEAL CANDIDATE</w:t>
            </w:r>
          </w:p>
        </w:tc>
      </w:tr>
      <w:tr w:rsidR="00D248C0" w14:paraId="5B259225" w14:textId="77777777" w:rsidTr="00AB20F8">
        <w:tc>
          <w:tcPr>
            <w:tcW w:w="3415" w:type="dxa"/>
          </w:tcPr>
          <w:p w14:paraId="450B6571" w14:textId="553F8E2C" w:rsidR="00D248C0" w:rsidRPr="002F1362" w:rsidRDefault="00D248C0" w:rsidP="00D248C0">
            <w:r w:rsidRPr="002F1362">
              <w:t xml:space="preserve">SEEKING: </w:t>
            </w:r>
          </w:p>
        </w:tc>
        <w:tc>
          <w:tcPr>
            <w:tcW w:w="5935" w:type="dxa"/>
          </w:tcPr>
          <w:p w14:paraId="613F7983" w14:textId="023E2008" w:rsidR="00D248C0" w:rsidRPr="002F1362" w:rsidRDefault="00D248C0" w:rsidP="00D248C0">
            <w:r w:rsidRPr="002F1362">
              <w:t>Seasoned trusts &amp; estates, wealth transfer, elder law, tax attorney to help shape our firm and meet its aggressive growth goals</w:t>
            </w:r>
          </w:p>
        </w:tc>
      </w:tr>
      <w:tr w:rsidR="00D248C0" w14:paraId="3ADA3B22" w14:textId="77777777" w:rsidTr="00AB20F8">
        <w:tc>
          <w:tcPr>
            <w:tcW w:w="3415" w:type="dxa"/>
          </w:tcPr>
          <w:p w14:paraId="59DD03F1" w14:textId="77777777" w:rsidR="00D248C0" w:rsidRPr="002F1362" w:rsidRDefault="00D248C0" w:rsidP="00D248C0"/>
        </w:tc>
        <w:tc>
          <w:tcPr>
            <w:tcW w:w="5935" w:type="dxa"/>
          </w:tcPr>
          <w:p w14:paraId="0EED2612" w14:textId="77777777" w:rsidR="00D248C0" w:rsidRPr="002F1362" w:rsidRDefault="00D248C0" w:rsidP="00D248C0"/>
        </w:tc>
      </w:tr>
      <w:tr w:rsidR="00D248C0" w14:paraId="13B0FDFF" w14:textId="77777777" w:rsidTr="00AB20F8">
        <w:tc>
          <w:tcPr>
            <w:tcW w:w="3415" w:type="dxa"/>
          </w:tcPr>
          <w:p w14:paraId="33AF3EB3" w14:textId="3F77C294" w:rsidR="00D248C0" w:rsidRPr="002F1362" w:rsidRDefault="00D248C0" w:rsidP="00D248C0">
            <w:r w:rsidRPr="006C04F8">
              <w:t>EXPERIENCE</w:t>
            </w:r>
            <w:r>
              <w:t xml:space="preserve"> REQUIRED</w:t>
            </w:r>
            <w:r w:rsidRPr="006C04F8">
              <w:t>:</w:t>
            </w:r>
          </w:p>
        </w:tc>
        <w:tc>
          <w:tcPr>
            <w:tcW w:w="5935" w:type="dxa"/>
          </w:tcPr>
          <w:p w14:paraId="65053437" w14:textId="02BF4571" w:rsidR="00D248C0" w:rsidRPr="002F1362" w:rsidRDefault="00A305F3" w:rsidP="00D248C0">
            <w:r>
              <w:t xml:space="preserve">At least </w:t>
            </w:r>
            <w:r w:rsidR="00D248C0">
              <w:t>7-10 years of experience practicing law</w:t>
            </w:r>
            <w:r w:rsidR="00BA39D6">
              <w:t xml:space="preserve"> in the above-mentioned areas</w:t>
            </w:r>
          </w:p>
        </w:tc>
      </w:tr>
      <w:tr w:rsidR="00D248C0" w14:paraId="53CF82CC" w14:textId="77777777" w:rsidTr="00AB20F8">
        <w:tc>
          <w:tcPr>
            <w:tcW w:w="3415" w:type="dxa"/>
          </w:tcPr>
          <w:p w14:paraId="6F5A4582" w14:textId="77777777" w:rsidR="00D248C0" w:rsidRDefault="00D248C0" w:rsidP="00D248C0"/>
        </w:tc>
        <w:tc>
          <w:tcPr>
            <w:tcW w:w="5935" w:type="dxa"/>
          </w:tcPr>
          <w:p w14:paraId="75297DE4" w14:textId="77777777" w:rsidR="00D248C0" w:rsidRDefault="00D248C0" w:rsidP="00D248C0"/>
        </w:tc>
      </w:tr>
      <w:tr w:rsidR="00D248C0" w14:paraId="7F2FBB02" w14:textId="77777777" w:rsidTr="00AB20F8">
        <w:tc>
          <w:tcPr>
            <w:tcW w:w="3415" w:type="dxa"/>
          </w:tcPr>
          <w:p w14:paraId="5AD9A666" w14:textId="64EA2961" w:rsidR="00D248C0" w:rsidRDefault="00D248C0" w:rsidP="00D248C0">
            <w:r w:rsidRPr="006C04F8">
              <w:t>SKILLS DESIRED:</w:t>
            </w:r>
          </w:p>
        </w:tc>
        <w:tc>
          <w:tcPr>
            <w:tcW w:w="5935" w:type="dxa"/>
          </w:tcPr>
          <w:p w14:paraId="6AD16C2C" w14:textId="72295E31" w:rsidR="00D248C0" w:rsidRDefault="00D248C0" w:rsidP="00D248C0">
            <w:r w:rsidRPr="006C04F8">
              <w:t xml:space="preserve">Leadership, management, </w:t>
            </w:r>
            <w:r w:rsidR="00BA39D6">
              <w:t xml:space="preserve">accounting, </w:t>
            </w:r>
            <w:r w:rsidRPr="006C04F8">
              <w:t>mentorship, thought leadership, subject matter expertise</w:t>
            </w:r>
            <w:r w:rsidR="00573BC8">
              <w:t>, patience</w:t>
            </w:r>
          </w:p>
        </w:tc>
      </w:tr>
      <w:tr w:rsidR="00D248C0" w14:paraId="6D91E62B" w14:textId="77777777" w:rsidTr="00AB20F8">
        <w:tc>
          <w:tcPr>
            <w:tcW w:w="3415" w:type="dxa"/>
          </w:tcPr>
          <w:p w14:paraId="652632A3" w14:textId="33B6E85D" w:rsidR="00D248C0" w:rsidRDefault="00D248C0" w:rsidP="00D248C0"/>
        </w:tc>
        <w:tc>
          <w:tcPr>
            <w:tcW w:w="5935" w:type="dxa"/>
          </w:tcPr>
          <w:p w14:paraId="05717B3F" w14:textId="77777777" w:rsidR="00D248C0" w:rsidRDefault="00D248C0" w:rsidP="00D248C0"/>
        </w:tc>
      </w:tr>
      <w:tr w:rsidR="00D248C0" w14:paraId="34A3872F" w14:textId="77777777" w:rsidTr="00AB20F8">
        <w:tc>
          <w:tcPr>
            <w:tcW w:w="3415" w:type="dxa"/>
          </w:tcPr>
          <w:p w14:paraId="1137E800" w14:textId="569E15F2" w:rsidR="00D248C0" w:rsidRDefault="00D248C0" w:rsidP="00D248C0">
            <w:r>
              <w:t>CREDENTIALS PREFERRED:</w:t>
            </w:r>
          </w:p>
        </w:tc>
        <w:tc>
          <w:tcPr>
            <w:tcW w:w="5935" w:type="dxa"/>
          </w:tcPr>
          <w:p w14:paraId="28CBFC87" w14:textId="5656AF0D" w:rsidR="00D248C0" w:rsidRDefault="00D248C0" w:rsidP="00D248C0">
            <w:r>
              <w:t>CELA</w:t>
            </w:r>
            <w:r w:rsidR="00BA39D6">
              <w:t>, ACTEC, CFP</w:t>
            </w:r>
            <w:r w:rsidR="0079651E">
              <w:t>, CPA, LLM</w:t>
            </w:r>
            <w:r>
              <w:t xml:space="preserve"> designation</w:t>
            </w:r>
            <w:r w:rsidR="00BA39D6">
              <w:t>s</w:t>
            </w:r>
          </w:p>
        </w:tc>
      </w:tr>
      <w:tr w:rsidR="00D248C0" w14:paraId="7A167A77" w14:textId="77777777" w:rsidTr="00AB20F8">
        <w:tc>
          <w:tcPr>
            <w:tcW w:w="3415" w:type="dxa"/>
          </w:tcPr>
          <w:p w14:paraId="0085DC23" w14:textId="21DFC046" w:rsidR="00D248C0" w:rsidRDefault="00D248C0" w:rsidP="00D248C0"/>
        </w:tc>
        <w:tc>
          <w:tcPr>
            <w:tcW w:w="5935" w:type="dxa"/>
          </w:tcPr>
          <w:p w14:paraId="2A5AD7D3" w14:textId="1FDFFBFF" w:rsidR="00D248C0" w:rsidRDefault="00D248C0" w:rsidP="00D248C0"/>
        </w:tc>
      </w:tr>
    </w:tbl>
    <w:p w14:paraId="34685C8F" w14:textId="330AC95D" w:rsidR="006102A0" w:rsidRDefault="006102A0" w:rsidP="00E003E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5935"/>
      </w:tblGrid>
      <w:tr w:rsidR="006102A0" w14:paraId="27415BE3" w14:textId="77777777" w:rsidTr="00AB20F8">
        <w:tc>
          <w:tcPr>
            <w:tcW w:w="9350" w:type="dxa"/>
            <w:gridSpan w:val="2"/>
            <w:shd w:val="clear" w:color="auto" w:fill="000000" w:themeFill="text1"/>
          </w:tcPr>
          <w:p w14:paraId="2211FDC6" w14:textId="2B11D66D" w:rsidR="006102A0" w:rsidRDefault="00D248C0" w:rsidP="006102A0">
            <w:pPr>
              <w:jc w:val="center"/>
            </w:pPr>
            <w:r w:rsidRPr="00C905A1">
              <w:rPr>
                <w:b/>
                <w:bCs/>
                <w:color w:val="FFFFFF" w:themeColor="background1"/>
              </w:rPr>
              <w:t>COMPENSATION</w:t>
            </w:r>
          </w:p>
        </w:tc>
      </w:tr>
      <w:tr w:rsidR="006102A0" w14:paraId="023E5A5B" w14:textId="77777777" w:rsidTr="00AB20F8">
        <w:tc>
          <w:tcPr>
            <w:tcW w:w="3415" w:type="dxa"/>
          </w:tcPr>
          <w:p w14:paraId="116EEDD5" w14:textId="77777777" w:rsidR="006102A0" w:rsidRPr="002F1362" w:rsidRDefault="006102A0" w:rsidP="006432C8"/>
        </w:tc>
        <w:tc>
          <w:tcPr>
            <w:tcW w:w="5935" w:type="dxa"/>
          </w:tcPr>
          <w:p w14:paraId="67A6BA1A" w14:textId="77777777" w:rsidR="006102A0" w:rsidRPr="002F1362" w:rsidRDefault="006102A0" w:rsidP="006432C8"/>
        </w:tc>
      </w:tr>
      <w:tr w:rsidR="006102A0" w14:paraId="0B22D991" w14:textId="77777777" w:rsidTr="00AB20F8">
        <w:tc>
          <w:tcPr>
            <w:tcW w:w="3415" w:type="dxa"/>
          </w:tcPr>
          <w:p w14:paraId="2D1CFF8B" w14:textId="441F2C65" w:rsidR="006102A0" w:rsidRPr="002F1362" w:rsidRDefault="00D248C0" w:rsidP="006432C8">
            <w:r>
              <w:t>SALARY</w:t>
            </w:r>
            <w:r w:rsidR="006102A0" w:rsidRPr="006C04F8">
              <w:t>:</w:t>
            </w:r>
          </w:p>
        </w:tc>
        <w:tc>
          <w:tcPr>
            <w:tcW w:w="5935" w:type="dxa"/>
          </w:tcPr>
          <w:p w14:paraId="5EDA4DB5" w14:textId="77777777" w:rsidR="00573BC8" w:rsidRDefault="00D248C0" w:rsidP="006432C8">
            <w:r>
              <w:t xml:space="preserve">Hook Law typically pays in the top quartile of its competition.  </w:t>
            </w:r>
          </w:p>
          <w:p w14:paraId="7F7C9BC6" w14:textId="77777777" w:rsidR="00573BC8" w:rsidRDefault="00573BC8" w:rsidP="006432C8"/>
          <w:p w14:paraId="4C8450F6" w14:textId="77E3F6B6" w:rsidR="006102A0" w:rsidRPr="002F1362" w:rsidRDefault="00D248C0" w:rsidP="006432C8">
            <w:r>
              <w:t>Salary is negotiable; commensurate with experience</w:t>
            </w:r>
          </w:p>
        </w:tc>
      </w:tr>
      <w:tr w:rsidR="006102A0" w14:paraId="0E344951" w14:textId="77777777" w:rsidTr="00AB20F8">
        <w:tc>
          <w:tcPr>
            <w:tcW w:w="3415" w:type="dxa"/>
          </w:tcPr>
          <w:p w14:paraId="53014E3D" w14:textId="77777777" w:rsidR="006102A0" w:rsidRDefault="006102A0" w:rsidP="006432C8"/>
        </w:tc>
        <w:tc>
          <w:tcPr>
            <w:tcW w:w="5935" w:type="dxa"/>
          </w:tcPr>
          <w:p w14:paraId="74236DB2" w14:textId="77777777" w:rsidR="006102A0" w:rsidRDefault="006102A0" w:rsidP="006432C8"/>
        </w:tc>
      </w:tr>
      <w:tr w:rsidR="006102A0" w14:paraId="77BEDC27" w14:textId="77777777" w:rsidTr="00AB20F8">
        <w:tc>
          <w:tcPr>
            <w:tcW w:w="3415" w:type="dxa"/>
          </w:tcPr>
          <w:p w14:paraId="06ED6173" w14:textId="4E3B7092" w:rsidR="006102A0" w:rsidRDefault="00D248C0" w:rsidP="006432C8">
            <w:r>
              <w:t>INCENTIVE PLAN:</w:t>
            </w:r>
          </w:p>
        </w:tc>
        <w:tc>
          <w:tcPr>
            <w:tcW w:w="5935" w:type="dxa"/>
          </w:tcPr>
          <w:p w14:paraId="5BC03505" w14:textId="0C6D1AD6" w:rsidR="006102A0" w:rsidRDefault="00D248C0" w:rsidP="006432C8">
            <w:r>
              <w:t xml:space="preserve">Productivity </w:t>
            </w:r>
            <w:r w:rsidR="00C905A1">
              <w:t xml:space="preserve">based </w:t>
            </w:r>
            <w:r>
              <w:t>bonuses paid quarterly</w:t>
            </w:r>
            <w:r w:rsidR="00C905A1">
              <w:t xml:space="preserve"> that </w:t>
            </w:r>
            <w:r w:rsidR="00573BC8">
              <w:t>can significantly enhance base pay</w:t>
            </w:r>
          </w:p>
        </w:tc>
      </w:tr>
      <w:tr w:rsidR="006102A0" w14:paraId="222EC4C1" w14:textId="77777777" w:rsidTr="00AB20F8">
        <w:tc>
          <w:tcPr>
            <w:tcW w:w="3415" w:type="dxa"/>
          </w:tcPr>
          <w:p w14:paraId="7010AE1D" w14:textId="77777777" w:rsidR="006102A0" w:rsidRDefault="006102A0" w:rsidP="006432C8"/>
        </w:tc>
        <w:tc>
          <w:tcPr>
            <w:tcW w:w="5935" w:type="dxa"/>
          </w:tcPr>
          <w:p w14:paraId="4AF488BE" w14:textId="77777777" w:rsidR="006102A0" w:rsidRDefault="006102A0" w:rsidP="006432C8"/>
        </w:tc>
      </w:tr>
      <w:tr w:rsidR="006102A0" w14:paraId="1693E4C2" w14:textId="77777777" w:rsidTr="00AB20F8">
        <w:tc>
          <w:tcPr>
            <w:tcW w:w="3415" w:type="dxa"/>
          </w:tcPr>
          <w:p w14:paraId="773EF0E2" w14:textId="25D44FDA" w:rsidR="006102A0" w:rsidRDefault="004624C9" w:rsidP="006432C8">
            <w:r>
              <w:t xml:space="preserve">RICH </w:t>
            </w:r>
            <w:r w:rsidR="00D248C0">
              <w:t>RETIREMENT PLAN:</w:t>
            </w:r>
          </w:p>
        </w:tc>
        <w:tc>
          <w:tcPr>
            <w:tcW w:w="5935" w:type="dxa"/>
          </w:tcPr>
          <w:p w14:paraId="044B5985" w14:textId="258FA65F" w:rsidR="00D248C0" w:rsidRDefault="004624C9" w:rsidP="006432C8">
            <w:r>
              <w:t xml:space="preserve">Participate via </w:t>
            </w:r>
            <w:r w:rsidR="00D248C0">
              <w:t>Roth or Traditional</w:t>
            </w:r>
            <w:r>
              <w:t xml:space="preserve"> contributions</w:t>
            </w:r>
            <w:r w:rsidR="00BA39D6">
              <w:t xml:space="preserve"> subject to plan requirements</w:t>
            </w:r>
            <w:r>
              <w:t>.</w:t>
            </w:r>
            <w:r w:rsidR="00D248C0">
              <w:t xml:space="preserve"> </w:t>
            </w:r>
          </w:p>
          <w:p w14:paraId="370B616D" w14:textId="77777777" w:rsidR="00D248C0" w:rsidRDefault="00D248C0" w:rsidP="006432C8"/>
          <w:p w14:paraId="44AC06F6" w14:textId="42790DF3" w:rsidR="006102A0" w:rsidRDefault="00D248C0" w:rsidP="006432C8">
            <w:r>
              <w:t xml:space="preserve">Firm Contributions (Subject to vesting rules): 3% Safe Harbor Contribution to non-highly compensated employees; Direct Recognition Variable Investment Plan (contribution), Profit Sharing Contribution </w:t>
            </w:r>
          </w:p>
        </w:tc>
      </w:tr>
      <w:tr w:rsidR="006102A0" w14:paraId="25073C6C" w14:textId="77777777" w:rsidTr="00AB20F8">
        <w:tc>
          <w:tcPr>
            <w:tcW w:w="3415" w:type="dxa"/>
          </w:tcPr>
          <w:p w14:paraId="42BBB4B4" w14:textId="77777777" w:rsidR="006102A0" w:rsidRDefault="006102A0" w:rsidP="006432C8"/>
        </w:tc>
        <w:tc>
          <w:tcPr>
            <w:tcW w:w="5935" w:type="dxa"/>
          </w:tcPr>
          <w:p w14:paraId="36102925" w14:textId="77777777" w:rsidR="006102A0" w:rsidRDefault="006102A0" w:rsidP="006432C8"/>
        </w:tc>
      </w:tr>
      <w:tr w:rsidR="00D248C0" w14:paraId="26FDC561" w14:textId="77777777" w:rsidTr="00AB20F8">
        <w:tc>
          <w:tcPr>
            <w:tcW w:w="3415" w:type="dxa"/>
          </w:tcPr>
          <w:p w14:paraId="7301F1BD" w14:textId="089C9E4F" w:rsidR="00D248C0" w:rsidRDefault="00D248C0" w:rsidP="006432C8">
            <w:r>
              <w:t>HEALTH CARE BENEFITS</w:t>
            </w:r>
            <w:r w:rsidR="00573BC8">
              <w:t>:</w:t>
            </w:r>
          </w:p>
        </w:tc>
        <w:tc>
          <w:tcPr>
            <w:tcW w:w="5935" w:type="dxa"/>
          </w:tcPr>
          <w:p w14:paraId="0ACCC58C" w14:textId="38F7246E" w:rsidR="00D248C0" w:rsidRDefault="00D248C0" w:rsidP="006432C8">
            <w:r>
              <w:t>100% Employee Short</w:t>
            </w:r>
            <w:r w:rsidR="004624C9">
              <w:t>-</w:t>
            </w:r>
            <w:r>
              <w:t xml:space="preserve">Term and </w:t>
            </w:r>
            <w:r w:rsidR="004624C9">
              <w:t>Long-Term</w:t>
            </w:r>
            <w:r>
              <w:t xml:space="preserve"> Disability covered by the firm</w:t>
            </w:r>
          </w:p>
          <w:p w14:paraId="5D6B0175" w14:textId="77777777" w:rsidR="00D248C0" w:rsidRDefault="00D248C0" w:rsidP="006432C8"/>
          <w:p w14:paraId="7BF939CC" w14:textId="6CC35476" w:rsidR="00D248C0" w:rsidRDefault="00D248C0" w:rsidP="006432C8">
            <w:r>
              <w:t>90% of Employee premium covered by the firm</w:t>
            </w:r>
          </w:p>
          <w:p w14:paraId="4BD7B6C7" w14:textId="77777777" w:rsidR="00D248C0" w:rsidRDefault="00D248C0" w:rsidP="006432C8"/>
          <w:p w14:paraId="2CA3E7BB" w14:textId="1D10BC17" w:rsidR="00D248C0" w:rsidRDefault="00D248C0" w:rsidP="006432C8">
            <w:r>
              <w:t>Vis</w:t>
            </w:r>
            <w:r w:rsidR="003C491F">
              <w:t>ion</w:t>
            </w:r>
            <w:r>
              <w:t>/Dental Insurance available</w:t>
            </w:r>
          </w:p>
        </w:tc>
      </w:tr>
      <w:tr w:rsidR="00F85C3D" w14:paraId="084C0271" w14:textId="77777777" w:rsidTr="00AB20F8">
        <w:tc>
          <w:tcPr>
            <w:tcW w:w="3415" w:type="dxa"/>
          </w:tcPr>
          <w:p w14:paraId="5812BF8E" w14:textId="77777777" w:rsidR="00F85C3D" w:rsidRDefault="00F85C3D" w:rsidP="006432C8"/>
        </w:tc>
        <w:tc>
          <w:tcPr>
            <w:tcW w:w="5935" w:type="dxa"/>
          </w:tcPr>
          <w:p w14:paraId="624B92CF" w14:textId="77777777" w:rsidR="00F85C3D" w:rsidRDefault="00F85C3D" w:rsidP="006432C8"/>
        </w:tc>
      </w:tr>
      <w:tr w:rsidR="00F85C3D" w14:paraId="18FF846B" w14:textId="77777777" w:rsidTr="00AB20F8">
        <w:tc>
          <w:tcPr>
            <w:tcW w:w="3415" w:type="dxa"/>
          </w:tcPr>
          <w:p w14:paraId="3704CD89" w14:textId="4541CE85" w:rsidR="00F85C3D" w:rsidRDefault="00F85C3D" w:rsidP="006432C8">
            <w:r>
              <w:lastRenderedPageBreak/>
              <w:t>FRINGE BENEFITS</w:t>
            </w:r>
            <w:r w:rsidR="00573BC8">
              <w:t>:</w:t>
            </w:r>
          </w:p>
        </w:tc>
        <w:tc>
          <w:tcPr>
            <w:tcW w:w="5935" w:type="dxa"/>
          </w:tcPr>
          <w:p w14:paraId="4E4DC807" w14:textId="5E2DA807" w:rsidR="00F85C3D" w:rsidRDefault="004624C9" w:rsidP="006432C8">
            <w:r>
              <w:t>C</w:t>
            </w:r>
            <w:r w:rsidR="00F85C3D">
              <w:t xml:space="preserve">lothing </w:t>
            </w:r>
            <w:r>
              <w:t>stipend</w:t>
            </w:r>
            <w:r w:rsidR="00F85C3D">
              <w:t>,</w:t>
            </w:r>
            <w:r>
              <w:t xml:space="preserve"> budgeted</w:t>
            </w:r>
            <w:r w:rsidR="00F85C3D">
              <w:t xml:space="preserve"> reimbursement for CLEs, bar dues, association dues, conferences, </w:t>
            </w:r>
            <w:r>
              <w:t xml:space="preserve">travel, meals, </w:t>
            </w:r>
            <w:r w:rsidR="00F85C3D">
              <w:t xml:space="preserve">tuition, </w:t>
            </w:r>
            <w:r>
              <w:t>malpractice insurance coverage, etc.</w:t>
            </w:r>
          </w:p>
        </w:tc>
      </w:tr>
      <w:tr w:rsidR="00573BC8" w14:paraId="2A93FB60" w14:textId="77777777" w:rsidTr="00AB20F8">
        <w:tc>
          <w:tcPr>
            <w:tcW w:w="3415" w:type="dxa"/>
          </w:tcPr>
          <w:p w14:paraId="21E7D028" w14:textId="77777777" w:rsidR="00573BC8" w:rsidRDefault="00573BC8" w:rsidP="006432C8"/>
        </w:tc>
        <w:tc>
          <w:tcPr>
            <w:tcW w:w="5935" w:type="dxa"/>
          </w:tcPr>
          <w:p w14:paraId="55294048" w14:textId="77777777" w:rsidR="00573BC8" w:rsidRDefault="00573BC8" w:rsidP="006432C8"/>
        </w:tc>
      </w:tr>
      <w:tr w:rsidR="00573BC8" w14:paraId="56A8D6E3" w14:textId="77777777" w:rsidTr="00AB20F8">
        <w:tc>
          <w:tcPr>
            <w:tcW w:w="3415" w:type="dxa"/>
          </w:tcPr>
          <w:p w14:paraId="195EA6D9" w14:textId="5205D824" w:rsidR="00573BC8" w:rsidRDefault="00573BC8" w:rsidP="006432C8">
            <w:r>
              <w:t>RELOCATION:</w:t>
            </w:r>
          </w:p>
        </w:tc>
        <w:tc>
          <w:tcPr>
            <w:tcW w:w="5935" w:type="dxa"/>
          </w:tcPr>
          <w:p w14:paraId="5F338602" w14:textId="4BB5CAD8" w:rsidR="00573BC8" w:rsidRDefault="00573BC8" w:rsidP="006432C8">
            <w:r>
              <w:t>Certain relocation costs may be reimbursed</w:t>
            </w:r>
          </w:p>
        </w:tc>
      </w:tr>
    </w:tbl>
    <w:p w14:paraId="0D0D8A3D" w14:textId="6BF1DFCF" w:rsidR="006102A0" w:rsidRDefault="006102A0" w:rsidP="006102A0">
      <w:pPr>
        <w:ind w:left="3690" w:hanging="369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6385"/>
      </w:tblGrid>
      <w:tr w:rsidR="004624C9" w14:paraId="5FD27FD1" w14:textId="77777777" w:rsidTr="00AB20F8">
        <w:tc>
          <w:tcPr>
            <w:tcW w:w="9350" w:type="dxa"/>
            <w:gridSpan w:val="2"/>
            <w:shd w:val="clear" w:color="auto" w:fill="000000" w:themeFill="text1"/>
          </w:tcPr>
          <w:p w14:paraId="15224C36" w14:textId="6D7F90AE" w:rsidR="004624C9" w:rsidRDefault="00B82436" w:rsidP="006432C8">
            <w:pPr>
              <w:jc w:val="center"/>
            </w:pPr>
            <w:r w:rsidRPr="00C905A1">
              <w:rPr>
                <w:color w:val="FFFFFF" w:themeColor="background1"/>
              </w:rPr>
              <w:t xml:space="preserve">FIRM AND </w:t>
            </w:r>
            <w:r w:rsidR="004624C9" w:rsidRPr="00C905A1">
              <w:rPr>
                <w:color w:val="FFFFFF" w:themeColor="background1"/>
              </w:rPr>
              <w:t>LIFESTYLE</w:t>
            </w:r>
          </w:p>
        </w:tc>
      </w:tr>
      <w:tr w:rsidR="004624C9" w14:paraId="6EFB61FB" w14:textId="77777777" w:rsidTr="00AB20F8">
        <w:tc>
          <w:tcPr>
            <w:tcW w:w="2965" w:type="dxa"/>
          </w:tcPr>
          <w:p w14:paraId="297E6AB7" w14:textId="1E92503F" w:rsidR="004624C9" w:rsidRPr="002F1362" w:rsidRDefault="004624C9" w:rsidP="006432C8">
            <w:r>
              <w:t>WORK/LIFE BALANCE</w:t>
            </w:r>
          </w:p>
        </w:tc>
        <w:tc>
          <w:tcPr>
            <w:tcW w:w="6385" w:type="dxa"/>
          </w:tcPr>
          <w:p w14:paraId="71D0B6A2" w14:textId="7D6093F5" w:rsidR="004624C9" w:rsidRPr="002F1362" w:rsidRDefault="004624C9" w:rsidP="006432C8">
            <w:r>
              <w:t xml:space="preserve">We do not believe in </w:t>
            </w:r>
            <w:r w:rsidR="00780DEC">
              <w:t>overextending</w:t>
            </w:r>
            <w:r>
              <w:t xml:space="preserve"> ourselves to the point of burnout.</w:t>
            </w:r>
            <w:r w:rsidR="00780DEC">
              <w:t xml:space="preserve">  Family time is as equally important as work time.</w:t>
            </w:r>
            <w:r>
              <w:t xml:space="preserve">  Good work requires ability to focus.  Our most seasoned attorneys enjoy modest billing and origination goals to ensure quality over quantity.</w:t>
            </w:r>
          </w:p>
        </w:tc>
      </w:tr>
      <w:tr w:rsidR="004624C9" w14:paraId="2FEA0037" w14:textId="77777777" w:rsidTr="00AB20F8">
        <w:tc>
          <w:tcPr>
            <w:tcW w:w="2965" w:type="dxa"/>
          </w:tcPr>
          <w:p w14:paraId="3CEAC136" w14:textId="77777777" w:rsidR="004624C9" w:rsidRPr="002F1362" w:rsidRDefault="004624C9" w:rsidP="006432C8"/>
        </w:tc>
        <w:tc>
          <w:tcPr>
            <w:tcW w:w="6385" w:type="dxa"/>
          </w:tcPr>
          <w:p w14:paraId="1503052B" w14:textId="77777777" w:rsidR="004624C9" w:rsidRPr="002F1362" w:rsidRDefault="004624C9" w:rsidP="006432C8"/>
        </w:tc>
      </w:tr>
      <w:tr w:rsidR="004624C9" w14:paraId="4DDBDD76" w14:textId="77777777" w:rsidTr="00AB20F8">
        <w:tc>
          <w:tcPr>
            <w:tcW w:w="2965" w:type="dxa"/>
          </w:tcPr>
          <w:p w14:paraId="3F16FD4C" w14:textId="6AB6ECAE" w:rsidR="004624C9" w:rsidRPr="002F1362" w:rsidRDefault="00780DEC" w:rsidP="006432C8">
            <w:r>
              <w:t>LOCATION:</w:t>
            </w:r>
          </w:p>
        </w:tc>
        <w:tc>
          <w:tcPr>
            <w:tcW w:w="6385" w:type="dxa"/>
          </w:tcPr>
          <w:p w14:paraId="12C48046" w14:textId="77777777" w:rsidR="004624C9" w:rsidRDefault="00780DEC" w:rsidP="006432C8">
            <w:r>
              <w:t>Southeastern Virginia and Northeastern North Carolina enjoy:</w:t>
            </w:r>
          </w:p>
          <w:p w14:paraId="266A27DD" w14:textId="77777777" w:rsidR="00780DEC" w:rsidRDefault="00780DEC" w:rsidP="00780DEC">
            <w:pPr>
              <w:pStyle w:val="ListParagraph"/>
              <w:numPr>
                <w:ilvl w:val="0"/>
                <w:numId w:val="6"/>
              </w:numPr>
            </w:pPr>
            <w:r>
              <w:t>Reasonable cost of living</w:t>
            </w:r>
          </w:p>
          <w:p w14:paraId="5231CA84" w14:textId="77777777" w:rsidR="00780DEC" w:rsidRDefault="00780DEC" w:rsidP="00780DEC">
            <w:pPr>
              <w:pStyle w:val="ListParagraph"/>
              <w:numPr>
                <w:ilvl w:val="0"/>
                <w:numId w:val="6"/>
              </w:numPr>
            </w:pPr>
            <w:r>
              <w:t>Great school systems</w:t>
            </w:r>
          </w:p>
          <w:p w14:paraId="32231897" w14:textId="2068ECE7" w:rsidR="00780DEC" w:rsidRDefault="008E29D6" w:rsidP="00780DEC">
            <w:pPr>
              <w:pStyle w:val="ListParagraph"/>
              <w:numPr>
                <w:ilvl w:val="0"/>
                <w:numId w:val="6"/>
              </w:numPr>
            </w:pPr>
            <w:r>
              <w:t xml:space="preserve">Four seasons – mild winters, moderate fall, spring, and summer </w:t>
            </w:r>
            <w:r w:rsidR="00780DEC">
              <w:t>Beaches and mountains</w:t>
            </w:r>
          </w:p>
          <w:p w14:paraId="1543A582" w14:textId="77777777" w:rsidR="00780DEC" w:rsidRDefault="00780DEC" w:rsidP="00780DEC">
            <w:pPr>
              <w:pStyle w:val="ListParagraph"/>
              <w:numPr>
                <w:ilvl w:val="0"/>
                <w:numId w:val="6"/>
              </w:numPr>
            </w:pPr>
            <w:r>
              <w:t>Low traffic</w:t>
            </w:r>
          </w:p>
          <w:p w14:paraId="700012BD" w14:textId="352A6C19" w:rsidR="00780DEC" w:rsidRPr="002F1362" w:rsidRDefault="00780DEC" w:rsidP="008E29D6">
            <w:pPr>
              <w:pStyle w:val="ListParagraph"/>
              <w:numPr>
                <w:ilvl w:val="0"/>
                <w:numId w:val="6"/>
              </w:numPr>
            </w:pPr>
            <w:r>
              <w:t>Strategic Mid-Atlantic location</w:t>
            </w:r>
          </w:p>
        </w:tc>
      </w:tr>
      <w:tr w:rsidR="004624C9" w14:paraId="0ED51F6F" w14:textId="77777777" w:rsidTr="00AB20F8">
        <w:tc>
          <w:tcPr>
            <w:tcW w:w="2965" w:type="dxa"/>
          </w:tcPr>
          <w:p w14:paraId="06CBDB00" w14:textId="77777777" w:rsidR="004624C9" w:rsidRDefault="004624C9" w:rsidP="006432C8"/>
        </w:tc>
        <w:tc>
          <w:tcPr>
            <w:tcW w:w="6385" w:type="dxa"/>
          </w:tcPr>
          <w:p w14:paraId="559D4E63" w14:textId="77777777" w:rsidR="004624C9" w:rsidRDefault="004624C9" w:rsidP="006432C8"/>
        </w:tc>
      </w:tr>
      <w:tr w:rsidR="004624C9" w14:paraId="659C6DF8" w14:textId="77777777" w:rsidTr="00AB20F8">
        <w:tc>
          <w:tcPr>
            <w:tcW w:w="2965" w:type="dxa"/>
          </w:tcPr>
          <w:p w14:paraId="21239548" w14:textId="504F15BC" w:rsidR="004624C9" w:rsidRDefault="00B82436" w:rsidP="006432C8">
            <w:r>
              <w:t>CULTURE:</w:t>
            </w:r>
          </w:p>
        </w:tc>
        <w:tc>
          <w:tcPr>
            <w:tcW w:w="6385" w:type="dxa"/>
          </w:tcPr>
          <w:p w14:paraId="19256165" w14:textId="72033EB3" w:rsidR="00B82436" w:rsidRDefault="00B82436" w:rsidP="006432C8">
            <w:r>
              <w:t>Unlike many firms, we truly operate as a team.</w:t>
            </w:r>
            <w:r w:rsidR="008E29D6">
              <w:t xml:space="preserve"> Our organizational structure is flat, and decisions are made quickly.  We have a larger than normal paralegal to attorney ratio, and genuinely desire our people to enjoy coming to work.</w:t>
            </w:r>
            <w:r>
              <w:t xml:space="preserve">  </w:t>
            </w:r>
            <w:r w:rsidR="008E29D6">
              <w:t>We embrace technology that improves our efficiency.</w:t>
            </w:r>
          </w:p>
          <w:p w14:paraId="4DC19515" w14:textId="77777777" w:rsidR="00B82436" w:rsidRDefault="00B82436" w:rsidP="006432C8"/>
          <w:p w14:paraId="3CB4BC12" w14:textId="4A161F75" w:rsidR="004624C9" w:rsidRDefault="00B82436" w:rsidP="006432C8">
            <w:r>
              <w:t>Core Values:</w:t>
            </w:r>
          </w:p>
          <w:p w14:paraId="722EBFD8" w14:textId="61A2A216" w:rsidR="008E29D6" w:rsidRDefault="008E29D6" w:rsidP="00B82436">
            <w:pPr>
              <w:pStyle w:val="ListParagraph"/>
              <w:numPr>
                <w:ilvl w:val="0"/>
                <w:numId w:val="7"/>
              </w:numPr>
            </w:pPr>
            <w:r>
              <w:t>Exceed expectations</w:t>
            </w:r>
          </w:p>
          <w:p w14:paraId="512B0EAC" w14:textId="44819E02" w:rsidR="00B82436" w:rsidRDefault="00B82436" w:rsidP="00B82436">
            <w:pPr>
              <w:pStyle w:val="ListParagraph"/>
              <w:numPr>
                <w:ilvl w:val="0"/>
                <w:numId w:val="7"/>
              </w:numPr>
            </w:pPr>
            <w:r>
              <w:t xml:space="preserve">All for </w:t>
            </w:r>
            <w:r w:rsidR="008E29D6">
              <w:t>o</w:t>
            </w:r>
            <w:r>
              <w:t xml:space="preserve">ne, </w:t>
            </w:r>
            <w:r w:rsidR="008E29D6">
              <w:t>o</w:t>
            </w:r>
            <w:r>
              <w:t xml:space="preserve">ne for </w:t>
            </w:r>
            <w:r w:rsidR="008E29D6">
              <w:t>a</w:t>
            </w:r>
            <w:r>
              <w:t>ll</w:t>
            </w:r>
          </w:p>
          <w:p w14:paraId="55357570" w14:textId="3D2CA88D" w:rsidR="00B82436" w:rsidRDefault="00B82436" w:rsidP="00B82436">
            <w:pPr>
              <w:pStyle w:val="ListParagraph"/>
              <w:numPr>
                <w:ilvl w:val="0"/>
                <w:numId w:val="7"/>
              </w:numPr>
            </w:pPr>
            <w:r>
              <w:t xml:space="preserve">Deliver </w:t>
            </w:r>
            <w:r w:rsidR="008E29D6">
              <w:t>v</w:t>
            </w:r>
            <w:r>
              <w:t>alue</w:t>
            </w:r>
          </w:p>
          <w:p w14:paraId="5B877EDD" w14:textId="583D3FF1" w:rsidR="00B82436" w:rsidRDefault="00B82436" w:rsidP="00B82436">
            <w:pPr>
              <w:pStyle w:val="ListParagraph"/>
              <w:numPr>
                <w:ilvl w:val="0"/>
                <w:numId w:val="7"/>
              </w:numPr>
            </w:pPr>
            <w:r>
              <w:t xml:space="preserve">Strive for </w:t>
            </w:r>
            <w:r w:rsidR="008E29D6">
              <w:t>e</w:t>
            </w:r>
            <w:r>
              <w:t>xpertise</w:t>
            </w:r>
          </w:p>
          <w:p w14:paraId="6D22A838" w14:textId="044C92A8" w:rsidR="00B82436" w:rsidRDefault="00B82436" w:rsidP="00B82436">
            <w:pPr>
              <w:pStyle w:val="ListParagraph"/>
              <w:numPr>
                <w:ilvl w:val="0"/>
                <w:numId w:val="7"/>
              </w:numPr>
            </w:pPr>
            <w:r>
              <w:t xml:space="preserve">Have a </w:t>
            </w:r>
            <w:r w:rsidR="008E29D6">
              <w:t>s</w:t>
            </w:r>
            <w:r>
              <w:t xml:space="preserve">olutions </w:t>
            </w:r>
            <w:r w:rsidR="008E29D6">
              <w:t>m</w:t>
            </w:r>
            <w:r>
              <w:t>indset</w:t>
            </w:r>
          </w:p>
        </w:tc>
      </w:tr>
      <w:tr w:rsidR="004624C9" w14:paraId="29A381F8" w14:textId="77777777" w:rsidTr="00AB20F8">
        <w:tc>
          <w:tcPr>
            <w:tcW w:w="2965" w:type="dxa"/>
          </w:tcPr>
          <w:p w14:paraId="3D33A639" w14:textId="77777777" w:rsidR="004624C9" w:rsidRDefault="004624C9" w:rsidP="006432C8"/>
        </w:tc>
        <w:tc>
          <w:tcPr>
            <w:tcW w:w="6385" w:type="dxa"/>
          </w:tcPr>
          <w:p w14:paraId="017CBE77" w14:textId="77777777" w:rsidR="004624C9" w:rsidRDefault="004624C9" w:rsidP="006432C8"/>
        </w:tc>
      </w:tr>
      <w:tr w:rsidR="004624C9" w14:paraId="5A1766D0" w14:textId="77777777" w:rsidTr="00AB20F8">
        <w:tc>
          <w:tcPr>
            <w:tcW w:w="2965" w:type="dxa"/>
          </w:tcPr>
          <w:p w14:paraId="00BDDD6B" w14:textId="58FE9BC1" w:rsidR="004624C9" w:rsidRDefault="008E29D6" w:rsidP="006432C8">
            <w:r>
              <w:t>VISION:</w:t>
            </w:r>
          </w:p>
        </w:tc>
        <w:tc>
          <w:tcPr>
            <w:tcW w:w="6385" w:type="dxa"/>
          </w:tcPr>
          <w:p w14:paraId="0EE3F414" w14:textId="3135227F" w:rsidR="004624C9" w:rsidRDefault="008E29D6" w:rsidP="006432C8">
            <w:r>
              <w:t>To grow our firm 7-fold in 10 years with a 20% profit margin</w:t>
            </w:r>
          </w:p>
        </w:tc>
      </w:tr>
    </w:tbl>
    <w:p w14:paraId="39240A47" w14:textId="260C7607" w:rsidR="004624C9" w:rsidRDefault="004624C9" w:rsidP="006102A0">
      <w:pPr>
        <w:ind w:left="3690" w:hanging="3690"/>
      </w:pPr>
    </w:p>
    <w:p w14:paraId="4718C2CF" w14:textId="1BF657FE" w:rsidR="003C491F" w:rsidRDefault="003C491F" w:rsidP="006102A0">
      <w:pPr>
        <w:ind w:left="3690" w:hanging="3690"/>
      </w:pPr>
    </w:p>
    <w:p w14:paraId="549A681D" w14:textId="42990D42" w:rsidR="003C491F" w:rsidRDefault="003C491F" w:rsidP="006102A0">
      <w:pPr>
        <w:ind w:left="3690" w:hanging="3690"/>
      </w:pPr>
    </w:p>
    <w:p w14:paraId="049E65F6" w14:textId="4DE3833D" w:rsidR="003C491F" w:rsidRPr="003C491F" w:rsidRDefault="003C491F" w:rsidP="003C491F">
      <w:pPr>
        <w:rPr>
          <w:b/>
          <w:bCs/>
        </w:rPr>
      </w:pPr>
      <w:r w:rsidRPr="003C491F">
        <w:rPr>
          <w:b/>
          <w:bCs/>
        </w:rPr>
        <w:t xml:space="preserve">All interested parties should reach out to the firm’s COO, Mr. Tejal Desai, at </w:t>
      </w:r>
      <w:hyperlink r:id="rId10" w:history="1">
        <w:r w:rsidRPr="003C491F">
          <w:rPr>
            <w:rStyle w:val="Hyperlink"/>
            <w:b/>
            <w:bCs/>
          </w:rPr>
          <w:t>tdesai@hooklawcenter.com</w:t>
        </w:r>
      </w:hyperlink>
      <w:r w:rsidRPr="003C491F">
        <w:rPr>
          <w:b/>
          <w:bCs/>
        </w:rPr>
        <w:t xml:space="preserve"> or 757-399-7506.  Any interest will be held in the strictest of confidence at your request.</w:t>
      </w:r>
    </w:p>
    <w:sectPr w:rsidR="003C491F" w:rsidRPr="003C491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649C6" w14:textId="77777777" w:rsidR="00212EFB" w:rsidRDefault="00212EFB" w:rsidP="006102A0">
      <w:r>
        <w:separator/>
      </w:r>
    </w:p>
  </w:endnote>
  <w:endnote w:type="continuationSeparator" w:id="0">
    <w:p w14:paraId="38E05DD2" w14:textId="77777777" w:rsidR="00212EFB" w:rsidRDefault="00212EFB" w:rsidP="0061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3A26F" w14:textId="77777777" w:rsidR="00212EFB" w:rsidRDefault="00212EFB" w:rsidP="006102A0">
      <w:r>
        <w:separator/>
      </w:r>
    </w:p>
  </w:footnote>
  <w:footnote w:type="continuationSeparator" w:id="0">
    <w:p w14:paraId="3FA68FC0" w14:textId="77777777" w:rsidR="00212EFB" w:rsidRDefault="00212EFB" w:rsidP="00610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AF88" w14:textId="3C49ABF4" w:rsidR="006102A0" w:rsidRDefault="006102A0" w:rsidP="006102A0">
    <w:pPr>
      <w:pStyle w:val="Header"/>
      <w:jc w:val="center"/>
    </w:pPr>
    <w:r>
      <w:rPr>
        <w:noProof/>
      </w:rPr>
      <w:drawing>
        <wp:inline distT="0" distB="0" distL="0" distR="0" wp14:anchorId="71568654" wp14:editId="1F6C4ACA">
          <wp:extent cx="1729972" cy="1000125"/>
          <wp:effectExtent l="0" t="0" r="3810" b="0"/>
          <wp:docPr id="5" name="Picture 5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ack and white logo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6224" b="1"/>
                  <a:stretch/>
                </pic:blipFill>
                <pic:spPr bwMode="auto">
                  <a:xfrm>
                    <a:off x="0" y="0"/>
                    <a:ext cx="1748711" cy="10109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D3B02"/>
    <w:multiLevelType w:val="multilevel"/>
    <w:tmpl w:val="B55E45B6"/>
    <w:styleLink w:val="Numbering-HLCStandard"/>
    <w:lvl w:ilvl="0">
      <w:start w:val="1"/>
      <w:numFmt w:val="upperRoman"/>
      <w:pStyle w:val="HLCStandard1"/>
      <w:suff w:val="space"/>
      <w:lvlText w:val="ARTICLE 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LCStandard2"/>
      <w:lvlText w:val="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pStyle w:val="HLCStandard3"/>
      <w:lvlText w:val="%3."/>
      <w:lvlJc w:val="left"/>
      <w:pPr>
        <w:tabs>
          <w:tab w:val="num" w:pos="1440"/>
        </w:tabs>
        <w:ind w:left="0" w:firstLine="1440"/>
      </w:pPr>
      <w:rPr>
        <w:rFonts w:hint="default"/>
      </w:rPr>
    </w:lvl>
    <w:lvl w:ilvl="3">
      <w:start w:val="1"/>
      <w:numFmt w:val="lowerRoman"/>
      <w:pStyle w:val="HLCStandard4"/>
      <w:lvlText w:val="%4."/>
      <w:lvlJc w:val="left"/>
      <w:pPr>
        <w:ind w:left="0" w:firstLine="21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4422713"/>
    <w:multiLevelType w:val="multilevel"/>
    <w:tmpl w:val="B9B00966"/>
    <w:styleLink w:val="Numbering-ISLStandard"/>
    <w:lvl w:ilvl="0">
      <w:start w:val="1"/>
      <w:numFmt w:val="upperRoman"/>
      <w:pStyle w:val="ILSStandard1"/>
      <w:suff w:val="nothing"/>
      <w:lvlText w:val="ARTICLE 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ILSStandard2"/>
      <w:lvlText w:val="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pStyle w:val="ILSStandard3"/>
      <w:lvlText w:val="%3."/>
      <w:lvlJc w:val="left"/>
      <w:pPr>
        <w:tabs>
          <w:tab w:val="num" w:pos="1440"/>
        </w:tabs>
        <w:ind w:left="0" w:firstLine="1440"/>
      </w:pPr>
      <w:rPr>
        <w:rFonts w:hint="default"/>
      </w:rPr>
    </w:lvl>
    <w:lvl w:ilvl="3">
      <w:start w:val="1"/>
      <w:numFmt w:val="lowerRoman"/>
      <w:pStyle w:val="ILSStandard4"/>
      <w:lvlText w:val="%4."/>
      <w:lvlJc w:val="left"/>
      <w:pPr>
        <w:ind w:left="0" w:firstLine="21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48D399E"/>
    <w:multiLevelType w:val="multilevel"/>
    <w:tmpl w:val="F2868066"/>
    <w:numStyleLink w:val="Numbering-Exhibit"/>
  </w:abstractNum>
  <w:abstractNum w:abstractNumId="3" w15:restartNumberingAfterBreak="0">
    <w:nsid w:val="4E060117"/>
    <w:multiLevelType w:val="hybridMultilevel"/>
    <w:tmpl w:val="FAB8F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E5851"/>
    <w:multiLevelType w:val="multilevel"/>
    <w:tmpl w:val="2E48EDDC"/>
    <w:styleLink w:val="Numbering-ILSLegal"/>
    <w:lvl w:ilvl="0">
      <w:start w:val="1"/>
      <w:numFmt w:val="decimal"/>
      <w:pStyle w:val="ILSLegal1"/>
      <w:suff w:val="nothing"/>
      <w:lvlText w:val="ARTIC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ILSLegal2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pStyle w:val="ILSLegal3"/>
      <w:lvlText w:val="%1.%2.%3."/>
      <w:lvlJc w:val="left"/>
      <w:pPr>
        <w:tabs>
          <w:tab w:val="num" w:pos="2347"/>
        </w:tabs>
        <w:ind w:left="0" w:firstLine="1440"/>
      </w:pPr>
      <w:rPr>
        <w:rFonts w:hint="default"/>
      </w:rPr>
    </w:lvl>
    <w:lvl w:ilvl="3">
      <w:start w:val="1"/>
      <w:numFmt w:val="decimal"/>
      <w:pStyle w:val="ILSLegal4"/>
      <w:lvlText w:val="%1.%2.%3.%4."/>
      <w:lvlJc w:val="left"/>
      <w:pPr>
        <w:tabs>
          <w:tab w:val="num" w:pos="3427"/>
        </w:tabs>
        <w:ind w:left="0" w:firstLine="234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0514184"/>
    <w:multiLevelType w:val="hybridMultilevel"/>
    <w:tmpl w:val="3C560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34959"/>
    <w:multiLevelType w:val="multilevel"/>
    <w:tmpl w:val="F2868066"/>
    <w:styleLink w:val="Numbering-Exhibit"/>
    <w:lvl w:ilvl="0">
      <w:start w:val="1"/>
      <w:numFmt w:val="upperLetter"/>
      <w:pStyle w:val="Exhibit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03963124">
    <w:abstractNumId w:val="0"/>
  </w:num>
  <w:num w:numId="2" w16cid:durableId="1017535640">
    <w:abstractNumId w:val="4"/>
  </w:num>
  <w:num w:numId="3" w16cid:durableId="1374698785">
    <w:abstractNumId w:val="1"/>
  </w:num>
  <w:num w:numId="4" w16cid:durableId="296297939">
    <w:abstractNumId w:val="6"/>
  </w:num>
  <w:num w:numId="5" w16cid:durableId="827096399">
    <w:abstractNumId w:val="2"/>
  </w:num>
  <w:num w:numId="6" w16cid:durableId="1902909927">
    <w:abstractNumId w:val="5"/>
  </w:num>
  <w:num w:numId="7" w16cid:durableId="1796098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A0"/>
    <w:rsid w:val="00212EFB"/>
    <w:rsid w:val="00336912"/>
    <w:rsid w:val="003C491F"/>
    <w:rsid w:val="004624C9"/>
    <w:rsid w:val="00472FE6"/>
    <w:rsid w:val="00573BC8"/>
    <w:rsid w:val="005E17C3"/>
    <w:rsid w:val="006102A0"/>
    <w:rsid w:val="00780DEC"/>
    <w:rsid w:val="0079651E"/>
    <w:rsid w:val="008E29D6"/>
    <w:rsid w:val="009F1275"/>
    <w:rsid w:val="00A305F3"/>
    <w:rsid w:val="00AB20F8"/>
    <w:rsid w:val="00B82436"/>
    <w:rsid w:val="00B95CBA"/>
    <w:rsid w:val="00B97BEB"/>
    <w:rsid w:val="00BA39D6"/>
    <w:rsid w:val="00C41C53"/>
    <w:rsid w:val="00C905A1"/>
    <w:rsid w:val="00CC5BEE"/>
    <w:rsid w:val="00D248C0"/>
    <w:rsid w:val="00E003E2"/>
    <w:rsid w:val="00F8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E149A"/>
  <w15:chartTrackingRefBased/>
  <w15:docId w15:val="{1FD0F007-DF90-4BCE-B895-5D07985E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LCStandard1">
    <w:name w:val="HLC Standard 1"/>
    <w:basedOn w:val="Normal"/>
    <w:next w:val="HLCStandard2"/>
    <w:qFormat/>
    <w:rsid w:val="00C41C53"/>
    <w:pPr>
      <w:keepNext/>
      <w:numPr>
        <w:numId w:val="1"/>
      </w:numPr>
      <w:spacing w:after="240"/>
      <w:outlineLvl w:val="0"/>
    </w:pPr>
    <w:rPr>
      <w:b/>
    </w:rPr>
  </w:style>
  <w:style w:type="paragraph" w:customStyle="1" w:styleId="HLCStandard2">
    <w:name w:val="HLC Standard 2"/>
    <w:basedOn w:val="Normal"/>
    <w:qFormat/>
    <w:rsid w:val="00C41C53"/>
    <w:pPr>
      <w:numPr>
        <w:ilvl w:val="1"/>
        <w:numId w:val="1"/>
      </w:numPr>
      <w:spacing w:after="240"/>
      <w:outlineLvl w:val="1"/>
    </w:pPr>
  </w:style>
  <w:style w:type="paragraph" w:customStyle="1" w:styleId="HLCStandard3">
    <w:name w:val="HLC Standard 3"/>
    <w:basedOn w:val="Normal"/>
    <w:qFormat/>
    <w:pPr>
      <w:numPr>
        <w:ilvl w:val="2"/>
        <w:numId w:val="1"/>
      </w:numPr>
      <w:spacing w:after="240"/>
    </w:pPr>
  </w:style>
  <w:style w:type="paragraph" w:customStyle="1" w:styleId="HLCStandard4">
    <w:name w:val="HLC Standard 4"/>
    <w:basedOn w:val="Normal"/>
    <w:qFormat/>
    <w:pPr>
      <w:numPr>
        <w:ilvl w:val="3"/>
        <w:numId w:val="1"/>
      </w:numPr>
      <w:spacing w:after="240"/>
    </w:pPr>
  </w:style>
  <w:style w:type="paragraph" w:styleId="Title">
    <w:name w:val="Title"/>
    <w:basedOn w:val="Normal"/>
    <w:next w:val="Normal"/>
    <w:link w:val="TitleChar"/>
    <w:qFormat/>
    <w:pPr>
      <w:keepNext/>
      <w:keepLines/>
      <w:spacing w:after="240"/>
      <w:jc w:val="center"/>
    </w:pPr>
    <w:rPr>
      <w:rFonts w:ascii="Times New Roman Bold" w:hAnsi="Times New Roman Bold"/>
      <w:b/>
      <w:caps/>
    </w:rPr>
  </w:style>
  <w:style w:type="character" w:customStyle="1" w:styleId="TitleChar">
    <w:name w:val="Title Char"/>
    <w:basedOn w:val="DefaultParagraphFont"/>
    <w:link w:val="Title"/>
    <w:rPr>
      <w:rFonts w:ascii="Times New Roman Bold" w:hAnsi="Times New Roman Bold"/>
      <w:b/>
      <w:caps/>
    </w:rPr>
  </w:style>
  <w:style w:type="numbering" w:customStyle="1" w:styleId="Numbering-HLCStandard">
    <w:name w:val="Numbering - HLC Standard"/>
    <w:uiPriority w:val="99"/>
    <w:pPr>
      <w:numPr>
        <w:numId w:val="1"/>
      </w:numPr>
    </w:p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</w:style>
  <w:style w:type="paragraph" w:styleId="BodyTextFirstIndent">
    <w:name w:val="Body Text First Indent"/>
    <w:basedOn w:val="BodyText"/>
    <w:link w:val="BodyTextFirstIndentChar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</w:style>
  <w:style w:type="paragraph" w:customStyle="1" w:styleId="ILSLegal1">
    <w:name w:val="ILS Legal 1"/>
    <w:basedOn w:val="Normal"/>
    <w:next w:val="ILSLegal2"/>
    <w:qFormat/>
    <w:rsid w:val="00C41C53"/>
    <w:pPr>
      <w:keepNext/>
      <w:keepLines/>
      <w:numPr>
        <w:numId w:val="2"/>
      </w:numPr>
      <w:spacing w:after="240"/>
      <w:jc w:val="center"/>
      <w:outlineLvl w:val="0"/>
    </w:pPr>
    <w:rPr>
      <w:b/>
    </w:rPr>
  </w:style>
  <w:style w:type="paragraph" w:customStyle="1" w:styleId="ILSLegal2">
    <w:name w:val="ILS Legal 2"/>
    <w:basedOn w:val="Normal"/>
    <w:qFormat/>
    <w:rsid w:val="00C41C53"/>
    <w:pPr>
      <w:numPr>
        <w:ilvl w:val="1"/>
        <w:numId w:val="2"/>
      </w:numPr>
      <w:spacing w:after="240"/>
      <w:outlineLvl w:val="1"/>
    </w:pPr>
  </w:style>
  <w:style w:type="paragraph" w:customStyle="1" w:styleId="ILSLegal3">
    <w:name w:val="ILS Legal 3"/>
    <w:basedOn w:val="Normal"/>
    <w:qFormat/>
    <w:pPr>
      <w:numPr>
        <w:ilvl w:val="2"/>
        <w:numId w:val="2"/>
      </w:numPr>
      <w:spacing w:after="240"/>
    </w:pPr>
  </w:style>
  <w:style w:type="paragraph" w:customStyle="1" w:styleId="ILSLegal4">
    <w:name w:val="ILS Legal 4"/>
    <w:basedOn w:val="Normal"/>
    <w:qFormat/>
    <w:pPr>
      <w:numPr>
        <w:ilvl w:val="3"/>
        <w:numId w:val="2"/>
      </w:numPr>
      <w:spacing w:after="240"/>
    </w:pPr>
  </w:style>
  <w:style w:type="numbering" w:customStyle="1" w:styleId="Numbering-ILSLegal">
    <w:name w:val="Numbering - ILS Legal"/>
    <w:uiPriority w:val="99"/>
    <w:pPr>
      <w:numPr>
        <w:numId w:val="2"/>
      </w:numPr>
    </w:pPr>
  </w:style>
  <w:style w:type="paragraph" w:customStyle="1" w:styleId="ILSStandard1">
    <w:name w:val="ILS Standard 1"/>
    <w:basedOn w:val="Normal"/>
    <w:next w:val="ILSStandard2"/>
    <w:qFormat/>
    <w:rsid w:val="00C41C53"/>
    <w:pPr>
      <w:keepNext/>
      <w:numPr>
        <w:numId w:val="3"/>
      </w:numPr>
      <w:spacing w:after="240"/>
      <w:jc w:val="center"/>
      <w:outlineLvl w:val="0"/>
    </w:pPr>
    <w:rPr>
      <w:b/>
    </w:rPr>
  </w:style>
  <w:style w:type="paragraph" w:customStyle="1" w:styleId="ILSStandard2">
    <w:name w:val="ILS Standard 2"/>
    <w:basedOn w:val="Normal"/>
    <w:qFormat/>
    <w:rsid w:val="00C41C53"/>
    <w:pPr>
      <w:numPr>
        <w:ilvl w:val="1"/>
        <w:numId w:val="3"/>
      </w:numPr>
      <w:spacing w:after="240"/>
      <w:outlineLvl w:val="1"/>
    </w:pPr>
  </w:style>
  <w:style w:type="paragraph" w:customStyle="1" w:styleId="ILSStandard3">
    <w:name w:val="ILS Standard 3"/>
    <w:basedOn w:val="Normal"/>
    <w:qFormat/>
    <w:pPr>
      <w:numPr>
        <w:ilvl w:val="2"/>
        <w:numId w:val="3"/>
      </w:numPr>
      <w:spacing w:after="240"/>
    </w:pPr>
  </w:style>
  <w:style w:type="paragraph" w:customStyle="1" w:styleId="ILSStandard4">
    <w:name w:val="ILS Standard 4"/>
    <w:basedOn w:val="Normal"/>
    <w:qFormat/>
    <w:pPr>
      <w:numPr>
        <w:ilvl w:val="3"/>
        <w:numId w:val="3"/>
      </w:numPr>
      <w:spacing w:after="240"/>
    </w:pPr>
  </w:style>
  <w:style w:type="numbering" w:customStyle="1" w:styleId="Numbering-ISLStandard">
    <w:name w:val="Numbering - ISL Standard"/>
    <w:uiPriority w:val="99"/>
    <w:pPr>
      <w:numPr>
        <w:numId w:val="3"/>
      </w:numPr>
    </w:pPr>
  </w:style>
  <w:style w:type="paragraph" w:styleId="BodyTextIndent">
    <w:name w:val="Body Text Indent"/>
    <w:basedOn w:val="Normal"/>
    <w:link w:val="BodyTextIndentChar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</w:style>
  <w:style w:type="paragraph" w:styleId="BodyTextFirstIndent2">
    <w:name w:val="Body Text First Indent 2"/>
    <w:basedOn w:val="Normal"/>
    <w:link w:val="BodyTextFirstIndent2Char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</w:style>
  <w:style w:type="paragraph" w:customStyle="1" w:styleId="Exhibit">
    <w:name w:val="Exhibit"/>
    <w:basedOn w:val="Normal"/>
    <w:next w:val="BodyTextFirstIndent"/>
    <w:qFormat/>
    <w:rsid w:val="00E003E2"/>
    <w:pPr>
      <w:keepNext/>
      <w:keepLines/>
      <w:pageBreakBefore/>
      <w:numPr>
        <w:numId w:val="5"/>
      </w:numPr>
      <w:spacing w:after="240"/>
      <w:jc w:val="center"/>
      <w:outlineLvl w:val="0"/>
    </w:pPr>
    <w:rPr>
      <w:rFonts w:ascii="Times New Roman Bold" w:hAnsi="Times New Roman Bold"/>
      <w:b/>
      <w:caps/>
    </w:rPr>
  </w:style>
  <w:style w:type="numbering" w:customStyle="1" w:styleId="Numbering-Exhibit">
    <w:name w:val="Numbering - Exhibit"/>
    <w:uiPriority w:val="99"/>
    <w:rsid w:val="00E003E2"/>
    <w:pPr>
      <w:numPr>
        <w:numId w:val="4"/>
      </w:numPr>
    </w:pPr>
  </w:style>
  <w:style w:type="paragraph" w:styleId="Header">
    <w:name w:val="header"/>
    <w:basedOn w:val="Normal"/>
    <w:link w:val="HeaderChar"/>
    <w:unhideWhenUsed/>
    <w:rsid w:val="006102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02A0"/>
  </w:style>
  <w:style w:type="paragraph" w:styleId="Footer">
    <w:name w:val="footer"/>
    <w:basedOn w:val="Normal"/>
    <w:link w:val="FooterChar"/>
    <w:unhideWhenUsed/>
    <w:rsid w:val="006102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02A0"/>
  </w:style>
  <w:style w:type="table" w:styleId="TableGrid">
    <w:name w:val="Table Grid"/>
    <w:basedOn w:val="TableNormal"/>
    <w:uiPriority w:val="39"/>
    <w:rsid w:val="00610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semiHidden/>
    <w:qFormat/>
    <w:rsid w:val="00780DEC"/>
    <w:pPr>
      <w:ind w:left="720"/>
      <w:contextualSpacing/>
    </w:pPr>
  </w:style>
  <w:style w:type="character" w:styleId="Hyperlink">
    <w:name w:val="Hyperlink"/>
    <w:basedOn w:val="DefaultParagraphFont"/>
    <w:unhideWhenUsed/>
    <w:rsid w:val="003C49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semiHidden/>
    <w:unhideWhenUsed/>
    <w:rsid w:val="003C4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desai@hooklawcenter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B4DE16A49A1F4BA5FBD6F401C46527" ma:contentTypeVersion="13" ma:contentTypeDescription="Create a new document." ma:contentTypeScope="" ma:versionID="4d7a4c9354ca3fe54af44b6decc0f31a">
  <xsd:schema xmlns:xsd="http://www.w3.org/2001/XMLSchema" xmlns:xs="http://www.w3.org/2001/XMLSchema" xmlns:p="http://schemas.microsoft.com/office/2006/metadata/properties" xmlns:ns2="facf45d5-f527-41d3-9bda-a3fff726dbac" xmlns:ns3="7a8e3ae2-9564-4e36-941a-428fd8f53085" targetNamespace="http://schemas.microsoft.com/office/2006/metadata/properties" ma:root="true" ma:fieldsID="d537e2ef0428bc8c975f01eec827cbd8" ns2:_="" ns3:_="">
    <xsd:import namespace="facf45d5-f527-41d3-9bda-a3fff726dbac"/>
    <xsd:import namespace="7a8e3ae2-9564-4e36-941a-428fd8f530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f45d5-f527-41d3-9bda-a3fff726d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e3ae2-9564-4e36-941a-428fd8f530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128A31-A263-4FF2-BF34-FE7F8D442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cf45d5-f527-41d3-9bda-a3fff726dbac"/>
    <ds:schemaRef ds:uri="7a8e3ae2-9564-4e36-941a-428fd8f530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E76338-2F37-4383-AC40-F2249FEBD0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FCFFB0-A00F-4200-9E9D-F2A89E36EB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Tejal Desai</dc:creator>
  <cp:keywords/>
  <dc:description/>
  <cp:lastModifiedBy>Tejal Desai</cp:lastModifiedBy>
  <cp:revision>4</cp:revision>
  <dcterms:created xsi:type="dcterms:W3CDTF">2022-12-07T20:45:00Z</dcterms:created>
  <dcterms:modified xsi:type="dcterms:W3CDTF">2022-12-14T18:59:00Z</dcterms:modified>
</cp:coreProperties>
</file>